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76" w:before="0" w:after="0"/>
        <w:ind w:firstLine="708"/>
        <w:jc w:val="center"/>
        <w:rPr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Обобщенная отчетная информация </w:t>
      </w:r>
    </w:p>
    <w:p>
      <w:pPr>
        <w:pStyle w:val="Normal"/>
        <w:spacing w:lineRule="auto" w:line="276" w:before="0" w:after="0"/>
        <w:ind w:firstLine="708"/>
        <w:jc w:val="center"/>
        <w:rPr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по результатам проведения публичного мероприятия</w:t>
      </w:r>
    </w:p>
    <w:p>
      <w:pPr>
        <w:pStyle w:val="Normal"/>
        <w:spacing w:lineRule="auto" w:line="276" w:before="0" w:after="0"/>
        <w:ind w:firstLine="708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76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76" w:before="0" w:after="0"/>
        <w:ind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Центральным управлением Ростехнадзора в соответствии</w:t>
        <w:br/>
        <w:t>с утвержденным распоряжением Федеральной службы по экологическому, технологическому и атомному надзору от 25 декабря 2025 г. № 88-рп</w:t>
        <w:br/>
        <w:t>«Об утверждении плана-графика проведения публичных обсуждений результатов правоприменительной практики территориальными органами Федеральной службы по экологическому, технологическому и атомному надзору в 2026 году», а также приказом Центрального управления Ростехнадзора от 6 мая 2026 г. № ПР-210-495-о «О проведении публичного мероприятия</w:t>
        <w:br/>
        <w:t xml:space="preserve">с подконтрольными субъектами во II квартале 2026 года» в  режиме видеоконференцсвязи 24 июня 2026 года на территории Тверской области проведено публичное мероприятие. </w:t>
      </w:r>
    </w:p>
    <w:p>
      <w:pPr>
        <w:pStyle w:val="Normal"/>
        <w:spacing w:lineRule="auto" w:line="276" w:before="0" w:after="0"/>
        <w:ind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 целью проведения мероприятия:</w:t>
      </w:r>
    </w:p>
    <w:p>
      <w:pPr>
        <w:pStyle w:val="Normal"/>
        <w:spacing w:lineRule="auto" w:line="276" w:before="0" w:after="0"/>
        <w:ind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создана в Центральном управлении Ростехнадзора (далее – Управление) рабочая группа;</w:t>
      </w:r>
    </w:p>
    <w:p>
      <w:pPr>
        <w:pStyle w:val="Normal"/>
        <w:spacing w:lineRule="auto" w:line="276" w:before="0" w:after="0"/>
        <w:ind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разработана «Программа проведения публичных обсуждений результатов правоприменительной практики Центрального управления Ростехнадзора»;</w:t>
      </w:r>
    </w:p>
    <w:p>
      <w:pPr>
        <w:pStyle w:val="Normal"/>
        <w:spacing w:lineRule="auto" w:line="276" w:before="0" w:after="0"/>
        <w:ind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на официальном сайте Управления размещено уведомление (анонс)</w:t>
        <w:br/>
        <w:t>о проведении публичного мероприятия с информацией о дате, времени, месте</w:t>
        <w:br/>
        <w:t>и способе проведения публичного обсуждения, ссылка для подключения</w:t>
        <w:br/>
        <w:t>к мероприятию;</w:t>
      </w:r>
    </w:p>
    <w:p>
      <w:pPr>
        <w:pStyle w:val="Normal"/>
        <w:spacing w:lineRule="auto" w:line="276" w:before="0" w:after="0"/>
        <w:ind w:firstLine="708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определен перечень участников, которым направлены приглашения</w:t>
        <w:br/>
        <w:t>для участия в публичных обсуждениях.</w:t>
      </w:r>
    </w:p>
    <w:p>
      <w:pPr>
        <w:pStyle w:val="Normal"/>
        <w:shd w:val="clear" w:color="auto" w:fill="FFFFFF"/>
        <w:spacing w:lineRule="auto" w:line="276" w:before="0" w:after="0"/>
        <w:ind w:firstLine="700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В мероприятии приняли участие представители прокуратуры Тверской области, </w:t>
      </w: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  <w:lang w:eastAsia="ru-RU"/>
        </w:rPr>
        <w:t>федеральных органов исполнительной власти,</w:t>
      </w:r>
      <w:r>
        <w:rPr>
          <w:rFonts w:eastAsia="Calibri" w:cs="Times New Roman" w:ascii="Times New Roman" w:hAnsi="Times New Roman"/>
          <w:b w:val="false"/>
          <w:bCs w:val="false"/>
          <w:color w:val="000000"/>
          <w:kern w:val="0"/>
          <w:sz w:val="28"/>
          <w:szCs w:val="28"/>
          <w:shd w:fill="FFFFFF" w:val="clear"/>
          <w:lang w:val="ru-RU" w:eastAsia="en-US" w:bidi="ar-SA"/>
        </w:rPr>
        <w:t xml:space="preserve"> территориально расположенных в г. Твери, органов исполнительной власти региона и местного самоуправления, </w:t>
      </w:r>
      <w:r>
        <w:rPr>
          <w:rFonts w:eastAsia="Calibri" w:cs="Times New Roman" w:ascii="Times New Roman" w:hAnsi="Times New Roman"/>
          <w:b w:val="false"/>
          <w:bCs/>
          <w:color w:val="000000"/>
          <w:kern w:val="0"/>
          <w:sz w:val="28"/>
          <w:szCs w:val="28"/>
          <w:shd w:fill="FFFFFF" w:val="clear"/>
          <w:lang w:val="ru-RU" w:eastAsia="en-US" w:bidi="ar-SA"/>
        </w:rPr>
        <w:t>Уполномоченный по защите прав предпринимателей</w:t>
        <w:br/>
        <w:t>в Тверской области,</w:t>
      </w:r>
      <w:r>
        <w:rPr>
          <w:rFonts w:eastAsia="Calibri" w:cs="Times New Roman" w:ascii="Times New Roman" w:hAnsi="Times New Roman"/>
          <w:b w:val="false"/>
          <w:bCs w:val="false"/>
          <w:color w:val="000000"/>
          <w:kern w:val="0"/>
          <w:sz w:val="28"/>
          <w:szCs w:val="28"/>
          <w:shd w:fill="FFFFFF" w:val="clear"/>
          <w:lang w:val="ru-RU" w:eastAsia="en-US" w:bidi="ar-SA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 а также организации, эксплуатирующие опасные производственные объекты, гидротехнические сооружения, объекты электроэнергетики и теплоснабжения, подъемные сооружения на территории Тверской области. Общее количество участников мероприятия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соста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вило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lang w:eastAsia="ru-RU"/>
        </w:rPr>
        <w:t>205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 человек.</w:t>
      </w:r>
    </w:p>
    <w:p>
      <w:pPr>
        <w:pStyle w:val="Normal"/>
        <w:spacing w:lineRule="auto" w:line="276" w:before="0" w:after="0"/>
        <w:ind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 имени Центрального управления Ростехнадзора на территории Тверской области с приветственной речью выступила врио заместителя руководителя Сидорова Марина Романовна. Он</w:t>
      </w:r>
      <w:r>
        <w:rPr>
          <w:rFonts w:cs="Times New Roman" w:ascii="Times New Roman" w:hAnsi="Times New Roman"/>
          <w:sz w:val="28"/>
          <w:szCs w:val="28"/>
        </w:rPr>
        <w:t>а</w:t>
      </w:r>
      <w:r>
        <w:rPr>
          <w:rFonts w:cs="Times New Roman" w:ascii="Times New Roman" w:hAnsi="Times New Roman"/>
          <w:sz w:val="28"/>
          <w:szCs w:val="28"/>
        </w:rPr>
        <w:t xml:space="preserve"> же представила доклад на тему:   </w:t>
      </w:r>
      <w:r>
        <w:rPr>
          <w:rFonts w:eastAsia="Calibri" w:cs="" w:ascii="Times New Roman" w:hAnsi="Times New Roman"/>
          <w:bCs/>
          <w:color w:val="000000"/>
          <w:kern w:val="0"/>
          <w:sz w:val="28"/>
          <w:szCs w:val="28"/>
          <w:shd w:fill="FFFFFF" w:val="clear"/>
          <w:lang w:val="ru-RU" w:eastAsia="en-US" w:bidi="ar-SA"/>
        </w:rPr>
        <w:t>«Осуществление Центральным управлением Ростехнадзора мероприятий</w:t>
        <w:br/>
        <w:t>по профилактике нарушений обязательных требований с учетом особенностей осуществления контрольной (надзорной) деятельности за I квартал 2026 года».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Normal"/>
        <w:widowControl w:val="false"/>
        <w:suppressAutoHyphens w:val="true"/>
        <w:spacing w:lineRule="auto" w:line="276" w:before="0" w:after="0"/>
        <w:ind w:firstLine="709"/>
        <w:jc w:val="both"/>
        <w:rPr>
          <w:sz w:val="28"/>
          <w:szCs w:val="28"/>
        </w:rPr>
      </w:pPr>
      <w:r>
        <w:rPr>
          <w:rFonts w:eastAsia="Calibri" w:cs="" w:ascii="Times New Roman" w:hAnsi="Times New Roman"/>
          <w:bCs/>
          <w:kern w:val="0"/>
          <w:sz w:val="28"/>
          <w:szCs w:val="28"/>
          <w:lang w:val="ru-RU" w:eastAsia="en-US" w:bidi="ar-SA"/>
        </w:rPr>
        <w:t xml:space="preserve">Свой доклад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kern w:val="0"/>
          <w:sz w:val="28"/>
          <w:szCs w:val="28"/>
          <w:shd w:fill="FFFFFF" w:val="clear"/>
          <w:lang w:val="ru-RU" w:eastAsia="en-US" w:bidi="ar-SA"/>
        </w:rPr>
        <w:t xml:space="preserve">«Оценка влияния государственного и муниципального контроля (надзора) на бизнес на территории Тверской области» </w:t>
      </w:r>
      <w:r>
        <w:rPr>
          <w:rFonts w:eastAsia="Calibri" w:cs="" w:ascii="Times New Roman" w:hAnsi="Times New Roman"/>
          <w:b w:val="false"/>
          <w:bCs w:val="false"/>
          <w:kern w:val="0"/>
          <w:sz w:val="28"/>
          <w:szCs w:val="28"/>
          <w:lang w:val="ru-RU" w:eastAsia="en-US" w:bidi="ar-SA"/>
        </w:rPr>
        <w:t xml:space="preserve">представил Уполномоченный по защите прав предпринимателей в Тверской области  </w:t>
      </w:r>
      <w:r>
        <w:rPr>
          <w:rFonts w:eastAsia="Calibri" w:cs="" w:ascii="Times New Roman" w:hAnsi="Times New Roman"/>
          <w:b w:val="false"/>
          <w:bCs w:val="false"/>
          <w:color w:val="000000"/>
          <w:kern w:val="0"/>
          <w:sz w:val="28"/>
          <w:szCs w:val="28"/>
          <w:shd w:fill="FFFFFF" w:val="clear"/>
          <w:lang w:val="ru-RU" w:eastAsia="en-US" w:bidi="ar-SA"/>
        </w:rPr>
        <w:t xml:space="preserve">Стамплевский Антон Владимирович. </w:t>
      </w:r>
    </w:p>
    <w:p>
      <w:pPr>
        <w:pStyle w:val="Normal"/>
        <w:spacing w:lineRule="auto" w:line="276" w:before="0" w:after="0"/>
        <w:ind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 докладом «</w:t>
      </w:r>
      <w:r>
        <w:rPr>
          <w:rFonts w:eastAsia="Calibri" w:cs="Times New Roman" w:ascii="Times New Roman" w:hAnsi="Times New Roman"/>
          <w:b w:val="false"/>
          <w:bCs w:val="false"/>
          <w:color w:val="000000"/>
          <w:kern w:val="0"/>
          <w:sz w:val="28"/>
          <w:szCs w:val="28"/>
          <w:shd w:fill="FFFFFF" w:val="clear"/>
          <w:lang w:val="ru-RU" w:eastAsia="en-US" w:bidi="ar-SA"/>
        </w:rPr>
        <w:t xml:space="preserve">Основные показатели надзорной деятельности отдела общего промышленного надзора по Тверской области за </w:t>
      </w:r>
      <w:r>
        <w:rPr>
          <w:rFonts w:eastAsia="Calibri" w:cs="" w:ascii="Times New Roman" w:hAnsi="Times New Roman"/>
          <w:b w:val="false"/>
          <w:bCs/>
          <w:color w:val="000000"/>
          <w:kern w:val="0"/>
          <w:sz w:val="28"/>
          <w:szCs w:val="28"/>
          <w:shd w:fill="FFFFFF" w:val="clear"/>
          <w:lang w:val="ru-RU" w:eastAsia="en-US" w:bidi="ar-SA"/>
        </w:rPr>
        <w:t>I квартал 2026 года, а</w:t>
      </w:r>
      <w:r>
        <w:rPr>
          <w:rFonts w:eastAsia="Calibri" w:cs="Times New Roman" w:ascii="Times New Roman" w:hAnsi="Times New Roman"/>
          <w:b w:val="false"/>
          <w:bCs w:val="false"/>
          <w:color w:val="000000"/>
          <w:kern w:val="0"/>
          <w:sz w:val="28"/>
          <w:szCs w:val="28"/>
          <w:shd w:fill="FFFFFF" w:val="clear"/>
          <w:lang w:val="ru-RU" w:eastAsia="en-US" w:bidi="ar-SA"/>
        </w:rPr>
        <w:t>нализ причин смертельного травматизма и аварий на химически опасных производственных объектах</w:t>
      </w:r>
      <w:r>
        <w:rPr>
          <w:rFonts w:cs="Times New Roman" w:ascii="Times New Roman" w:hAnsi="Times New Roman"/>
          <w:sz w:val="28"/>
          <w:szCs w:val="28"/>
        </w:rPr>
        <w:t xml:space="preserve">» выступила начальник отдела общего промышленного надзора по Тверской области Сидорова Марина Романовна. </w:t>
      </w:r>
    </w:p>
    <w:p>
      <w:pPr>
        <w:pStyle w:val="Normal"/>
        <w:overflowPunct w:val="true"/>
        <w:spacing w:lineRule="auto" w:line="276" w:before="0" w:after="0"/>
        <w:ind w:firstLine="567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 xml:space="preserve">Доклад на тему: </w:t>
      </w:r>
      <w:r>
        <w:rPr>
          <w:rFonts w:cs="Arial" w:ascii="Times New Roman" w:hAnsi="Times New Roman"/>
          <w:sz w:val="28"/>
          <w:szCs w:val="28"/>
        </w:rPr>
        <w:t>«</w:t>
      </w:r>
      <w:r>
        <w:rPr>
          <w:rFonts w:cs="Arial" w:ascii="Times New Roman" w:hAnsi="Times New Roman"/>
          <w:color w:val="000000" w:themeColor="text1"/>
          <w:sz w:val="28"/>
          <w:szCs w:val="28"/>
          <w:shd w:fill="FFFFFF" w:val="clear"/>
        </w:rPr>
        <w:t xml:space="preserve">Основные показатели деятельности отдела государственного энергетического надзора по Тверской области </w:t>
      </w:r>
      <w:r>
        <w:rPr>
          <w:rFonts w:cs="Arial" w:ascii="Times New Roman" w:hAnsi="Times New Roman"/>
          <w:color w:val="000000"/>
          <w:sz w:val="28"/>
          <w:szCs w:val="28"/>
          <w:shd w:fill="FFFFFF" w:val="clear"/>
        </w:rPr>
        <w:t xml:space="preserve">за </w:t>
      </w:r>
      <w:r>
        <w:rPr>
          <w:rFonts w:eastAsia="Calibri" w:cs="" w:ascii="Times New Roman" w:hAnsi="Times New Roman"/>
          <w:bCs/>
          <w:color w:val="000000"/>
          <w:kern w:val="0"/>
          <w:sz w:val="28"/>
          <w:szCs w:val="28"/>
          <w:shd w:fill="FFFFFF" w:val="clear"/>
          <w:lang w:val="ru-RU" w:eastAsia="en-US" w:bidi="ar-SA"/>
        </w:rPr>
        <w:t>I квартал 2026 года</w:t>
      </w:r>
      <w:r>
        <w:rPr>
          <w:rFonts w:cs="Arial" w:ascii="Times New Roman" w:hAnsi="Times New Roman"/>
          <w:color w:val="000000" w:themeColor="text1"/>
          <w:sz w:val="28"/>
          <w:szCs w:val="28"/>
          <w:shd w:fill="FFFFFF" w:val="clear"/>
        </w:rPr>
        <w:t>, анализ аварийности и травматизма на объектах энергетики</w:t>
      </w:r>
      <w:r>
        <w:rPr>
          <w:rFonts w:eastAsia="Times New Roman" w:cs="Times New Roman" w:ascii="Times New Roman" w:hAnsi="Times New Roman"/>
          <w:sz w:val="28"/>
          <w:szCs w:val="28"/>
          <w:shd w:fill="FFFFFF" w:val="clear"/>
        </w:rPr>
        <w:t xml:space="preserve">» представил </w:t>
      </w:r>
      <w:r>
        <w:rPr>
          <w:rFonts w:cs="Times New Roman" w:ascii="Times New Roman" w:hAnsi="Times New Roman"/>
          <w:sz w:val="28"/>
          <w:szCs w:val="28"/>
        </w:rPr>
        <w:t>начальник отдела государственного энергетического надзора</w:t>
        <w:br/>
        <w:t>по Тверской области Ковтунов Илья Вячеславович.</w:t>
      </w:r>
    </w:p>
    <w:p>
      <w:pPr>
        <w:pStyle w:val="Normal"/>
        <w:overflowPunct w:val="true"/>
        <w:spacing w:lineRule="auto" w:line="276" w:before="0" w:after="0"/>
        <w:ind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Участникам публичных обсуждений была продемонстрирована видеопрезентация докладов.</w:t>
      </w:r>
    </w:p>
    <w:p>
      <w:pPr>
        <w:pStyle w:val="Normal"/>
        <w:spacing w:lineRule="auto" w:line="276" w:before="0" w:after="0"/>
        <w:ind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Доклады с видеопрезентациями также представили следующие должностные лица Це</w:t>
      </w:r>
      <w:r>
        <w:rPr>
          <w:rFonts w:cs="Times New Roman" w:ascii="Times New Roman" w:hAnsi="Times New Roman"/>
          <w:color w:val="000000"/>
          <w:sz w:val="28"/>
          <w:szCs w:val="28"/>
        </w:rPr>
        <w:t>нтрального управления Ростехнадзора:</w:t>
      </w:r>
    </w:p>
    <w:p>
      <w:pPr>
        <w:pStyle w:val="Normal"/>
        <w:spacing w:lineRule="auto" w:line="276" w:before="0" w:after="0"/>
        <w:ind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- начальник отдела по надзору за подъемными сооружениями</w:t>
        <w:br/>
        <w:t xml:space="preserve">по Московской области Центрального управления Ростехнадзора 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 xml:space="preserve">Балобанов Сергей Валерьевич, </w:t>
      </w:r>
    </w:p>
    <w:p>
      <w:pPr>
        <w:pStyle w:val="Normal"/>
        <w:spacing w:lineRule="auto" w:line="276" w:before="0" w:after="0"/>
        <w:ind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тема доклада: «Аварийность и травматизм при эксплуатации подъемных сооружений»;</w:t>
      </w:r>
    </w:p>
    <w:p>
      <w:pPr>
        <w:pStyle w:val="5"/>
        <w:widowControl w:val="false"/>
        <w:shd w:val="clear" w:color="auto" w:fill="auto"/>
        <w:suppressAutoHyphens w:val="true"/>
        <w:bidi w:val="0"/>
        <w:spacing w:lineRule="auto" w:line="276" w:before="0" w:after="0"/>
        <w:ind w:left="57" w:right="0" w:hanging="0"/>
        <w:jc w:val="both"/>
        <w:rPr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ab/>
        <w:t xml:space="preserve">- </w:t>
      </w:r>
      <w:r>
        <w:rPr>
          <w:rFonts w:cs="Times New Roman"/>
          <w:b w:val="false"/>
          <w:bCs w:val="false"/>
          <w:i w:val="false"/>
          <w:iCs w:val="false"/>
          <w:color w:val="000000"/>
          <w:sz w:val="28"/>
          <w:szCs w:val="28"/>
        </w:rPr>
        <w:t>заместитель начальника межрегионального отдела по надзору</w:t>
        <w:br/>
        <w:t xml:space="preserve">за гидротехническими сооружениями Центрального управления Ростехнадзора Харламова Виктория Александровна,                       </w:t>
      </w:r>
    </w:p>
    <w:p>
      <w:pPr>
        <w:pStyle w:val="Normal"/>
        <w:widowControl w:val="false"/>
        <w:shd w:val="clear" w:color="auto" w:fill="auto"/>
        <w:spacing w:lineRule="auto" w:line="276" w:before="0" w:after="0"/>
        <w:ind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>тема доклада: «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color w:val="000000"/>
          <w:sz w:val="28"/>
          <w:szCs w:val="28"/>
          <w:shd w:fill="FFFFFF" w:val="clear"/>
        </w:rPr>
        <w:t xml:space="preserve">Анализ основных показателей контрольно-надзорной деятельности при осуществлении надзора за гидротехническими сооружениями за </w:t>
      </w:r>
      <w:r>
        <w:rPr>
          <w:rFonts w:eastAsia="Calibri" w:cs="" w:ascii="Times New Roman" w:hAnsi="Times New Roman"/>
          <w:b w:val="false"/>
          <w:bCs/>
          <w:i w:val="false"/>
          <w:iCs w:val="false"/>
          <w:color w:val="000000"/>
          <w:kern w:val="0"/>
          <w:sz w:val="28"/>
          <w:szCs w:val="28"/>
          <w:shd w:fill="FFFFFF" w:val="clear"/>
          <w:lang w:val="ru-RU" w:eastAsia="en-US" w:bidi="ar-SA"/>
        </w:rPr>
        <w:t>I квартал 2026 года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>»;</w:t>
      </w:r>
    </w:p>
    <w:p>
      <w:pPr>
        <w:pStyle w:val="5"/>
        <w:spacing w:lineRule="auto" w:line="276" w:before="0" w:after="0"/>
        <w:ind w:firstLine="709"/>
        <w:jc w:val="both"/>
        <w:rPr>
          <w:sz w:val="28"/>
          <w:szCs w:val="28"/>
        </w:rPr>
      </w:pPr>
      <w:r>
        <w:rPr>
          <w:rFonts w:eastAsia="Tahoma"/>
          <w:color w:val="000000"/>
          <w:sz w:val="28"/>
          <w:szCs w:val="28"/>
          <w:lang w:eastAsia="ru-RU"/>
        </w:rPr>
        <w:t xml:space="preserve">- заместитель начальника межрегионального отдела государственного строительного </w:t>
      </w:r>
      <w:r>
        <w:rPr>
          <w:rFonts w:eastAsia="Tahoma"/>
          <w:b w:val="false"/>
          <w:bCs w:val="false"/>
          <w:color w:val="000000"/>
          <w:sz w:val="28"/>
          <w:szCs w:val="28"/>
          <w:lang w:eastAsia="ru-RU"/>
        </w:rPr>
        <w:t xml:space="preserve">надзора и надзора за саморегулируемыми организациями </w:t>
      </w:r>
      <w:r>
        <w:rPr>
          <w:rFonts w:eastAsia="Tahoma" w:cs="Times New Roman"/>
          <w:b w:val="false"/>
          <w:bCs w:val="false"/>
          <w:color w:val="000000" w:themeColor="text1"/>
          <w:sz w:val="28"/>
          <w:szCs w:val="28"/>
          <w:lang w:eastAsia="ru-RU"/>
        </w:rPr>
        <w:t>Галкина Ольга Евгеньевна</w:t>
      </w:r>
      <w:r>
        <w:rPr>
          <w:rFonts w:eastAsia="Tahoma"/>
          <w:b w:val="false"/>
          <w:bCs w:val="false"/>
          <w:color w:val="000000"/>
          <w:sz w:val="28"/>
          <w:szCs w:val="28"/>
          <w:lang w:eastAsia="ru-RU"/>
        </w:rPr>
        <w:t>,</w:t>
      </w:r>
    </w:p>
    <w:p>
      <w:pPr>
        <w:pStyle w:val="5"/>
        <w:spacing w:lineRule="auto" w:line="276" w:before="0" w:after="0"/>
        <w:ind w:firstLine="709"/>
        <w:jc w:val="both"/>
        <w:rPr>
          <w:sz w:val="28"/>
          <w:szCs w:val="28"/>
        </w:rPr>
      </w:pPr>
      <w:r>
        <w:rPr>
          <w:rFonts w:eastAsia="Calibri" w:eastAsiaTheme="minorHAnsi"/>
          <w:b w:val="false"/>
          <w:bCs w:val="false"/>
          <w:color w:val="000000"/>
          <w:sz w:val="28"/>
          <w:szCs w:val="28"/>
        </w:rPr>
        <w:t xml:space="preserve">тема доклада: </w:t>
      </w:r>
      <w:r>
        <w:rPr>
          <w:rFonts w:eastAsia="Calibri" w:eastAsiaTheme="minorHAnsi"/>
          <w:color w:val="000000"/>
          <w:sz w:val="28"/>
          <w:szCs w:val="28"/>
        </w:rPr>
        <w:t>«</w:t>
      </w:r>
      <w:r>
        <w:rPr>
          <w:rFonts w:eastAsia="Calibri" w:cs="Times New Roman"/>
          <w:i w:val="false"/>
          <w:iCs w:val="false"/>
          <w:color w:val="000000"/>
          <w:sz w:val="28"/>
          <w:szCs w:val="28"/>
        </w:rPr>
        <w:t>Основные показатели надзорной деятельности межрегионального отдела государственного строительного надзора и надзора</w:t>
        <w:br/>
        <w:t xml:space="preserve">за саморегулируемыми организациями </w:t>
      </w:r>
      <w:r>
        <w:rPr>
          <w:rFonts w:eastAsia="Calibri" w:cs="Times New Roman"/>
          <w:i w:val="false"/>
          <w:iCs w:val="false"/>
          <w:color w:val="000000"/>
          <w:sz w:val="28"/>
          <w:szCs w:val="28"/>
          <w:shd w:fill="FFFFFF" w:val="clear"/>
        </w:rPr>
        <w:t xml:space="preserve">за </w:t>
      </w:r>
      <w:r>
        <w:rPr>
          <w:rFonts w:eastAsia="Calibri" w:cs=""/>
          <w:bCs/>
          <w:i w:val="false"/>
          <w:iCs w:val="false"/>
          <w:color w:val="000000"/>
          <w:kern w:val="0"/>
          <w:sz w:val="28"/>
          <w:szCs w:val="28"/>
          <w:shd w:fill="FFFFFF" w:val="clear"/>
          <w:lang w:val="ru-RU" w:eastAsia="en-US" w:bidi="ar-SA"/>
        </w:rPr>
        <w:t>I квартал 2026 год</w:t>
      </w:r>
      <w:r>
        <w:rPr>
          <w:rFonts w:eastAsia="Calibri" w:cs="Times New Roman"/>
          <w:color w:val="000000"/>
          <w:sz w:val="28"/>
          <w:szCs w:val="28"/>
          <w:shd w:fill="FFFFFF" w:val="clear"/>
        </w:rPr>
        <w:t>а</w:t>
      </w:r>
      <w:r>
        <w:rPr>
          <w:rFonts w:eastAsia="Calibri" w:eastAsiaTheme="minorHAnsi"/>
          <w:color w:val="000000"/>
          <w:sz w:val="28"/>
          <w:szCs w:val="28"/>
        </w:rPr>
        <w:t>».</w:t>
      </w:r>
    </w:p>
    <w:p>
      <w:pPr>
        <w:pStyle w:val="Normal"/>
        <w:widowControl w:val="false"/>
        <w:spacing w:lineRule="auto" w:line="276" w:before="0" w:after="0"/>
        <w:ind w:left="57" w:hanging="0"/>
        <w:jc w:val="both"/>
        <w:rPr>
          <w:sz w:val="28"/>
          <w:szCs w:val="28"/>
        </w:rPr>
      </w:pPr>
      <w:r>
        <w:rPr>
          <w:rFonts w:eastAsia="Calibri" w:cs="Times New Roman" w:ascii="Times New Roman" w:hAnsi="Times New Roman" w:eastAsiaTheme="minorHAnsi"/>
          <w:color w:val="000000"/>
          <w:sz w:val="28"/>
          <w:szCs w:val="28"/>
        </w:rPr>
        <w:tab/>
        <w:t>Также был заслушан доклад главного специалиста-эксперта отдела правового обеспечения Блинова Павла Андреевича, тема доклада: «О правовом регулировании контрольной (надзорной) деятельности, новое</w:t>
        <w:br/>
        <w:t>в законодательстве о контроле (надзоре)».</w:t>
      </w:r>
    </w:p>
    <w:p>
      <w:pPr>
        <w:pStyle w:val="Normal"/>
        <w:spacing w:lineRule="auto" w:line="276" w:before="0" w:after="0"/>
        <w:ind w:firstLine="709"/>
        <w:jc w:val="both"/>
        <w:rPr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Участники совещания проинформированы о проведённых контрольных (надзорных) мероприятиях, применённых мерах административной ответственности, наиболее часто встречающихся нарушениях, основных причинах случаев аварийности и травматизма,</w:t>
      </w:r>
      <w:r>
        <w:rPr>
          <w:rFonts w:ascii="Times New Roman" w:hAnsi="Times New Roman"/>
          <w:bCs/>
          <w:sz w:val="28"/>
          <w:szCs w:val="28"/>
        </w:rPr>
        <w:t xml:space="preserve"> профилактических мероприятиях, направленных на снижение аварий и несчастных случаев на производстве, приведен обзор изменений федерального законодательства и подзаконных нормативных актов в сфере деятельности Федеральной службы</w:t>
        <w:br/>
        <w:t>по экологическому, технологическому и атомному надзору.</w:t>
      </w:r>
    </w:p>
    <w:p>
      <w:pPr>
        <w:pStyle w:val="Normal"/>
        <w:spacing w:lineRule="auto" w:line="276" w:before="0" w:after="0"/>
        <w:ind w:firstLine="709"/>
        <w:jc w:val="both"/>
        <w:rPr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По результатам совещания участникам даны рекомендации, направленные на минимизирование рисков возникновения аварийных ситуаций</w:t>
        <w:br/>
        <w:t xml:space="preserve">на поднадзорных объектах. </w:t>
      </w:r>
    </w:p>
    <w:p>
      <w:pPr>
        <w:pStyle w:val="Normal"/>
        <w:widowControl/>
        <w:shd w:val="clear" w:color="auto" w:fill="FFFFFF"/>
        <w:suppressAutoHyphens w:val="true"/>
        <w:bidi w:val="0"/>
        <w:spacing w:lineRule="auto" w:line="276" w:before="0" w:after="0"/>
        <w:ind w:left="0" w:right="-57" w:firstLine="680"/>
        <w:jc w:val="both"/>
        <w:rPr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Также доведены до участников совещания преимущества использования мобильного приложения «Инспектор» и применения Единого портала государственных и муниципальных услуг (функций) обеспечивающего предоставление государственных услуг, в т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ом числе, </w:t>
      </w: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</w:rPr>
        <w:t>повышение удобства</w:t>
        <w:br/>
        <w:t>и прозрачности контрольных (надзорных) мероприятий, снижение нагрузки</w:t>
        <w:br/>
        <w:t>на предпринимателей и ускорение процессов взаимодействия между бизнесом</w:t>
        <w:br/>
        <w:t>и государственными структурами.</w:t>
      </w:r>
    </w:p>
    <w:p>
      <w:pPr>
        <w:pStyle w:val="5"/>
        <w:spacing w:lineRule="auto" w:line="276"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Представители Центрального управления Ростехнадзора ответили                            на вопросы, поступившие до начала проведения мероприятия. </w:t>
      </w:r>
    </w:p>
    <w:p>
      <w:pPr>
        <w:pStyle w:val="Normal"/>
        <w:spacing w:lineRule="auto" w:line="276" w:before="0" w:after="0"/>
        <w:ind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 результатам проведения мероприятия приняты следующие решения:</w:t>
      </w:r>
    </w:p>
    <w:p>
      <w:pPr>
        <w:pStyle w:val="Normal"/>
        <w:widowControl w:val="false"/>
        <w:spacing w:lineRule="auto" w:line="276" w:before="0" w:after="0"/>
        <w:ind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продолжить проведение мероприятий по профилактике обязательных требований с целью </w:t>
      </w:r>
      <w:r>
        <w:rPr>
          <w:rFonts w:ascii="Times New Roman" w:hAnsi="Times New Roman"/>
          <w:sz w:val="28"/>
          <w:szCs w:val="28"/>
        </w:rPr>
        <w:t>доведения обязательных требований до контролируемых лиц, повышения их информированности о соблюдении обязательных требований;</w:t>
      </w:r>
    </w:p>
    <w:p>
      <w:pPr>
        <w:pStyle w:val="Normal"/>
        <w:widowControl w:val="false"/>
        <w:spacing w:lineRule="auto" w:line="276" w:before="0" w:after="0"/>
        <w:ind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информировать контролируемых лиц об изменениях в действующем законодательстве и подзаконных нормативных правовых актах в сфере деятельности Ростехнадзора,</w:t>
      </w:r>
      <w:r>
        <w:rPr>
          <w:rFonts w:ascii="Times New Roman" w:hAnsi="Times New Roman"/>
          <w:sz w:val="28"/>
          <w:szCs w:val="28"/>
        </w:rPr>
        <w:t xml:space="preserve"> формировать единообразное понимание установленных норм обязательных требований, для чего </w:t>
      </w:r>
      <w:r>
        <w:rPr>
          <w:rFonts w:cs="Times New Roman" w:ascii="Times New Roman" w:hAnsi="Times New Roman"/>
          <w:sz w:val="28"/>
          <w:szCs w:val="28"/>
        </w:rPr>
        <w:t>подробно обсуждать типовые нарушения обязательных требований в целях проведения самооценки;</w:t>
      </w:r>
    </w:p>
    <w:p>
      <w:pPr>
        <w:pStyle w:val="Normal"/>
        <w:spacing w:lineRule="auto" w:line="276" w:before="0" w:after="0"/>
        <w:ind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продолжить освещение вопросов, связанных с произошедшими инцидентами, авариями и несчастными случаями, порядком их расследования </w:t>
        <w:br/>
        <w:t>и мерами, принимаемыми в целях их предотвращения. Доводить до всех работников подконтрольных организаций анализ несчастных случаев</w:t>
        <w:br/>
        <w:t>со смертельным исходом, произошедших на аналогичных объектах. Планировать и проводить мероприятия по совершенствованию работы, направленной</w:t>
        <w:br/>
        <w:t>на предупреждение несчастных случаев</w:t>
      </w:r>
      <w:bookmarkStart w:id="0" w:name="_GoBack"/>
      <w:bookmarkEnd w:id="0"/>
      <w:r>
        <w:rPr>
          <w:rFonts w:cs="Times New Roman" w:ascii="Times New Roman" w:hAnsi="Times New Roman"/>
          <w:sz w:val="28"/>
          <w:szCs w:val="28"/>
        </w:rPr>
        <w:t xml:space="preserve"> на объектах. </w:t>
      </w:r>
    </w:p>
    <w:sectPr>
      <w:footerReference w:type="default" r:id="rId2"/>
      <w:type w:val="nextPage"/>
      <w:pgSz w:w="11906" w:h="16838"/>
      <w:pgMar w:left="1418" w:right="684" w:gutter="0" w:header="0" w:top="1134" w:footer="708" w:bottom="1134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Times New Roman">
    <w:charset w:val="01"/>
    <w:family w:val="roman"/>
    <w:pitch w:val="variable"/>
  </w:font>
  <w:font w:name="Open Sans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779698488"/>
    </w:sdtPr>
    <w:sdtContent>
      <w:p>
        <w:pPr>
          <w:pStyle w:val="Style25"/>
          <w:jc w:val="right"/>
          <w:rPr/>
        </w:pPr>
        <w:r>
          <w:rPr>
            <w:rFonts w:cs="Times New Roman" w:ascii="Times New Roman" w:hAnsi="Times New Roman"/>
            <w:sz w:val="24"/>
            <w:szCs w:val="24"/>
          </w:rPr>
          <w:fldChar w:fldCharType="begin"/>
        </w:r>
        <w:r>
          <w:rPr>
            <w:sz w:val="24"/>
            <w:szCs w:val="24"/>
            <w:rFonts w:cs="Times New Roman" w:ascii="Times New Roman" w:hAnsi="Times New Roman"/>
          </w:rPr>
          <w:instrText> PAGE </w:instrText>
        </w:r>
        <w:r>
          <w:rPr>
            <w:sz w:val="24"/>
            <w:szCs w:val="24"/>
            <w:rFonts w:cs="Times New Roman" w:ascii="Times New Roman" w:hAnsi="Times New Roman"/>
          </w:rPr>
          <w:fldChar w:fldCharType="separate"/>
        </w:r>
        <w:r>
          <w:rPr>
            <w:sz w:val="24"/>
            <w:szCs w:val="24"/>
            <w:rFonts w:cs="Times New Roman" w:ascii="Times New Roman" w:hAnsi="Times New Roman"/>
          </w:rPr>
          <w:t>3</w:t>
        </w:r>
        <w:r>
          <w:rPr>
            <w:sz w:val="24"/>
            <w:szCs w:val="24"/>
            <w:rFonts w:cs="Times New Roman" w:ascii="Times New Roman" w:hAnsi="Times New Roman"/>
          </w:rPr>
          <w:fldChar w:fldCharType="end"/>
        </w:r>
      </w:p>
    </w:sdtContent>
  </w:sdt>
  <w:p>
    <w:pPr>
      <w:pStyle w:val="Style25"/>
      <w:rPr/>
    </w:pPr>
    <w:r>
      <w:rPr/>
    </w:r>
  </w:p>
</w:ftr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e01ebc"/>
    <w:rPr>
      <w:rFonts w:ascii="Tahoma" w:hAnsi="Tahoma" w:cs="Tahoma"/>
      <w:sz w:val="16"/>
      <w:szCs w:val="16"/>
    </w:rPr>
  </w:style>
  <w:style w:type="character" w:styleId="Style15" w:customStyle="1">
    <w:name w:val="Основной текст_"/>
    <w:basedOn w:val="DefaultParagraphFont"/>
    <w:link w:val="5"/>
    <w:qFormat/>
    <w:locked/>
    <w:rsid w:val="006a33c1"/>
    <w:rPr>
      <w:rFonts w:ascii="Times New Roman" w:hAnsi="Times New Roman" w:eastAsia="Times New Roman" w:cs="Times New Roman"/>
      <w:sz w:val="27"/>
      <w:szCs w:val="27"/>
      <w:shd w:fill="FFFFFF" w:val="clear"/>
    </w:rPr>
  </w:style>
  <w:style w:type="character" w:styleId="Style16" w:customStyle="1">
    <w:name w:val="Верхний колонтитул Знак"/>
    <w:basedOn w:val="DefaultParagraphFont"/>
    <w:uiPriority w:val="99"/>
    <w:qFormat/>
    <w:rsid w:val="00f1228d"/>
    <w:rPr/>
  </w:style>
  <w:style w:type="character" w:styleId="Style17" w:customStyle="1">
    <w:name w:val="Нижний колонтитул Знак"/>
    <w:basedOn w:val="DefaultParagraphFont"/>
    <w:uiPriority w:val="99"/>
    <w:qFormat/>
    <w:rsid w:val="00f1228d"/>
    <w:rPr/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Open Sans" w:hAnsi="Open Sans" w:eastAsia="Tahoma" w:cs="Lohit Devanagari"/>
      <w:sz w:val="28"/>
      <w:szCs w:val="28"/>
    </w:rPr>
  </w:style>
  <w:style w:type="paragraph" w:styleId="Style19">
    <w:name w:val="Body Text"/>
    <w:basedOn w:val="Normal"/>
    <w:pPr>
      <w:spacing w:before="0" w:after="140"/>
    </w:pPr>
    <w:rPr/>
  </w:style>
  <w:style w:type="paragraph" w:styleId="Style20">
    <w:name w:val="List"/>
    <w:basedOn w:val="Style19"/>
    <w:pPr/>
    <w:rPr>
      <w:rFonts w:cs="Lohit Devanagari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1" w:customStyle="1">
    <w:name w:val="Заголовок1"/>
    <w:basedOn w:val="Normal"/>
    <w:next w:val="Style19"/>
    <w:qFormat/>
    <w:pPr>
      <w:keepNext w:val="true"/>
      <w:spacing w:before="240" w:after="120"/>
    </w:pPr>
    <w:rPr>
      <w:rFonts w:ascii="Open Sans" w:hAnsi="Open Sans" w:eastAsia="Tahoma" w:cs="Lohit Devanagari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Lohit Devanagari"/>
    </w:rPr>
  </w:style>
  <w:style w:type="paragraph" w:styleId="BalloonText">
    <w:name w:val="Balloon Text"/>
    <w:basedOn w:val="Normal"/>
    <w:uiPriority w:val="99"/>
    <w:semiHidden/>
    <w:unhideWhenUsed/>
    <w:qFormat/>
    <w:rsid w:val="00e01ebc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5" w:customStyle="1">
    <w:name w:val="Основной текст5"/>
    <w:basedOn w:val="Normal"/>
    <w:link w:val="a4"/>
    <w:qFormat/>
    <w:rsid w:val="006a33c1"/>
    <w:pPr>
      <w:shd w:val="clear" w:color="auto" w:fill="FFFFFF"/>
      <w:spacing w:lineRule="atLeast" w:line="0" w:before="0" w:after="0"/>
    </w:pPr>
    <w:rPr>
      <w:rFonts w:ascii="Times New Roman" w:hAnsi="Times New Roman" w:eastAsia="Times New Roman" w:cs="Times New Roman"/>
      <w:sz w:val="27"/>
      <w:szCs w:val="27"/>
    </w:rPr>
  </w:style>
  <w:style w:type="paragraph" w:styleId="Style23" w:customStyle="1">
    <w:name w:val="Колонтитул"/>
    <w:basedOn w:val="Normal"/>
    <w:qFormat/>
    <w:pPr/>
    <w:rPr/>
  </w:style>
  <w:style w:type="paragraph" w:styleId="Style24">
    <w:name w:val="Header"/>
    <w:basedOn w:val="Normal"/>
    <w:uiPriority w:val="99"/>
    <w:unhideWhenUsed/>
    <w:rsid w:val="00f1228d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5">
    <w:name w:val="Footer"/>
    <w:basedOn w:val="Normal"/>
    <w:uiPriority w:val="99"/>
    <w:unhideWhenUsed/>
    <w:rsid w:val="00f1228d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F7F543-F967-404F-B563-0B2BE8DE0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Application>LibreOffice/7.2.4.1$Linux_X86_64 LibreOffice_project/20$Build-1</Application>
  <AppVersion>15.0000</AppVersion>
  <Pages>3</Pages>
  <Words>894</Words>
  <Characters>6073</Characters>
  <CharactersWithSpaces>6867</CharactersWithSpaces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2024-06-27T07:13:00Z</dcterms:created>
  <dc:creator>Кручинина Екатерина Юрьевна</dc:creator>
  <dc:description/>
  <dc:language>ru-RU</dc:language>
  <cp:lastModifiedBy/>
  <cp:lastPrinted>2026-06-24T10:59:33Z</cp:lastPrinted>
  <dcterms:modified xsi:type="dcterms:W3CDTF">2026-06-29T15:34:53Z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